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C318C1">
        <w:rPr>
          <w:rFonts w:ascii="Times New Roman" w:hAnsi="Times New Roman"/>
          <w:b/>
          <w:szCs w:val="24"/>
        </w:rPr>
        <w:t>ANYKŠČIŲ RAJONO SAVIVALDYBĖS</w:t>
      </w:r>
      <w:r w:rsidRPr="00C318C1">
        <w:rPr>
          <w:rFonts w:ascii="Times New Roman" w:hAnsi="Times New Roman"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Pr="00C318C1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bCs/>
          <w:lang w:eastAsia="lt-LT"/>
        </w:rPr>
        <w:t>SOCIALINIŲ REIKALŲ IR SVEIKATOS</w:t>
      </w:r>
      <w:r w:rsidRPr="00C318C1">
        <w:rPr>
          <w:rFonts w:ascii="Times New Roman" w:hAnsi="Times New Roman"/>
          <w:lang w:eastAsia="lt-LT"/>
        </w:rPr>
        <w:t xml:space="preserve"> </w:t>
      </w:r>
      <w:r w:rsidR="006B712E" w:rsidRPr="00C318C1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C318C1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C318C1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31380972" w:rsidR="006B712E" w:rsidRPr="00C318C1" w:rsidRDefault="006B712E" w:rsidP="006B712E">
      <w:pPr>
        <w:jc w:val="center"/>
        <w:rPr>
          <w:rFonts w:ascii="Times New Roman" w:hAnsi="Times New Roman"/>
          <w:b/>
        </w:rPr>
      </w:pPr>
      <w:r w:rsidRPr="00C318C1">
        <w:rPr>
          <w:rFonts w:ascii="Times New Roman" w:hAnsi="Times New Roman"/>
          <w:b/>
          <w:szCs w:val="24"/>
        </w:rPr>
        <w:t xml:space="preserve">Posėdis vyks </w:t>
      </w:r>
      <w:r w:rsidR="004457A4" w:rsidRPr="00D61482">
        <w:rPr>
          <w:rFonts w:ascii="Times New Roman" w:hAnsi="Times New Roman"/>
          <w:b/>
          <w:szCs w:val="24"/>
        </w:rPr>
        <w:t>202</w:t>
      </w:r>
      <w:r w:rsidR="004457A4">
        <w:rPr>
          <w:rFonts w:ascii="Times New Roman" w:hAnsi="Times New Roman"/>
          <w:b/>
          <w:szCs w:val="24"/>
        </w:rPr>
        <w:t>4</w:t>
      </w:r>
      <w:r w:rsidR="004457A4" w:rsidRPr="00D61482">
        <w:rPr>
          <w:rFonts w:ascii="Times New Roman" w:hAnsi="Times New Roman"/>
          <w:b/>
          <w:szCs w:val="24"/>
        </w:rPr>
        <w:t xml:space="preserve"> m. </w:t>
      </w:r>
      <w:r w:rsidR="00CE4A61">
        <w:rPr>
          <w:rFonts w:ascii="Times New Roman" w:hAnsi="Times New Roman"/>
          <w:b/>
          <w:szCs w:val="24"/>
        </w:rPr>
        <w:t>birželio</w:t>
      </w:r>
      <w:r w:rsidR="00424931">
        <w:rPr>
          <w:rFonts w:ascii="Times New Roman" w:hAnsi="Times New Roman"/>
          <w:b/>
          <w:szCs w:val="24"/>
        </w:rPr>
        <w:t xml:space="preserve"> 2</w:t>
      </w:r>
      <w:r w:rsidR="00CE4A61">
        <w:rPr>
          <w:rFonts w:ascii="Times New Roman" w:hAnsi="Times New Roman"/>
          <w:b/>
          <w:szCs w:val="24"/>
        </w:rPr>
        <w:t>6</w:t>
      </w:r>
      <w:r w:rsidR="00424931">
        <w:rPr>
          <w:rFonts w:ascii="Times New Roman" w:hAnsi="Times New Roman"/>
          <w:b/>
          <w:szCs w:val="24"/>
        </w:rPr>
        <w:t xml:space="preserve"> d.</w:t>
      </w:r>
      <w:r w:rsidR="004457A4" w:rsidRPr="00D61482">
        <w:rPr>
          <w:rFonts w:ascii="Times New Roman" w:hAnsi="Times New Roman"/>
          <w:b/>
          <w:szCs w:val="24"/>
        </w:rPr>
        <w:t xml:space="preserve"> </w:t>
      </w:r>
      <w:r w:rsidR="0083226D" w:rsidRPr="00C318C1">
        <w:rPr>
          <w:rFonts w:ascii="Times New Roman" w:hAnsi="Times New Roman"/>
          <w:b/>
        </w:rPr>
        <w:t>14</w:t>
      </w:r>
      <w:r w:rsidRPr="00C318C1">
        <w:rPr>
          <w:rFonts w:ascii="Times New Roman" w:hAnsi="Times New Roman"/>
          <w:b/>
        </w:rPr>
        <w:t>:00 val.  I</w:t>
      </w:r>
      <w:r w:rsidR="0083226D" w:rsidRPr="00C318C1">
        <w:rPr>
          <w:rFonts w:ascii="Times New Roman" w:hAnsi="Times New Roman"/>
          <w:b/>
        </w:rPr>
        <w:t>II</w:t>
      </w:r>
      <w:r w:rsidRPr="00C318C1">
        <w:rPr>
          <w:rFonts w:ascii="Times New Roman" w:hAnsi="Times New Roman"/>
          <w:b/>
        </w:rPr>
        <w:t xml:space="preserve"> a. </w:t>
      </w:r>
      <w:r w:rsidR="0083226D" w:rsidRPr="00C318C1">
        <w:rPr>
          <w:rFonts w:ascii="Times New Roman" w:hAnsi="Times New Roman"/>
          <w:b/>
        </w:rPr>
        <w:t>304</w:t>
      </w:r>
      <w:r w:rsidRPr="00C318C1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C318C1" w:rsidRDefault="00B15B0B" w:rsidP="006B712E">
      <w:pPr>
        <w:jc w:val="center"/>
        <w:rPr>
          <w:rFonts w:ascii="Times New Roman" w:hAnsi="Times New Roman"/>
        </w:rPr>
      </w:pPr>
    </w:p>
    <w:bookmarkEnd w:id="0"/>
    <w:p w14:paraId="4F72562F" w14:textId="77777777" w:rsidR="00550A04" w:rsidRPr="000F45E0" w:rsidRDefault="00550A04" w:rsidP="00550A04">
      <w:pPr>
        <w:jc w:val="both"/>
        <w:rPr>
          <w:rFonts w:ascii="Times New Roman" w:hAnsi="Times New Roman"/>
        </w:rPr>
      </w:pPr>
    </w:p>
    <w:p w14:paraId="1C9EEC56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1. Dėl Anykščių rajono tarybos 2023 m. birželio 29 d. sprendimo Nr. 1-TS-187 „Dėl Anykščių rajono savivaldybės strateginio planavimo priežiūros komisijos sudarymo ir jos nuostatų patvirtinimo“ pakeitimo (1-T-212)</w:t>
      </w:r>
      <w:r>
        <w:rPr>
          <w:rFonts w:ascii="Times New Roman" w:hAnsi="Times New Roman"/>
          <w:szCs w:val="24"/>
        </w:rPr>
        <w:t>.</w:t>
      </w:r>
    </w:p>
    <w:p w14:paraId="17DD6A8C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2. Dėl 2024–2029 m. funkcinės zonos Anykščių, Molėtų ir Utenos rajonų savivaldybėse (Ežerų Lietuva) strategijos patvirtinimo (1-T-219)</w:t>
      </w:r>
      <w:r>
        <w:rPr>
          <w:rFonts w:ascii="Times New Roman" w:hAnsi="Times New Roman"/>
          <w:szCs w:val="24"/>
        </w:rPr>
        <w:t>.</w:t>
      </w:r>
    </w:p>
    <w:p w14:paraId="244D4564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3. Dėl pritarimo dalyvauti Interreg VI-A Latvijos ir Lietuvos bendradarbiavimo per sieną programos 2-ojo kvietimo projekte „Tvaraus turizmo skatinimas Lietuvos ir Latvijos pasienio regione per istorinį piliakalnių paveldą“ projekto partnerio teisėmis (1-T-221)</w:t>
      </w:r>
      <w:r>
        <w:rPr>
          <w:rFonts w:ascii="Times New Roman" w:hAnsi="Times New Roman"/>
          <w:szCs w:val="24"/>
        </w:rPr>
        <w:t>.</w:t>
      </w:r>
    </w:p>
    <w:p w14:paraId="436BE093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Jolanta Jucevičienė</w:t>
      </w:r>
    </w:p>
    <w:p w14:paraId="1C9339AD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4. Dėl Anykščių rajono savivaldybės tarybos 2022 m. lapkričio 24 d. sprendimo Nr. 1-TS-298 „Dėl ilgalaikio turto naudingo tarnavimo</w:t>
      </w:r>
      <w:r>
        <w:rPr>
          <w:rFonts w:ascii="Times New Roman" w:hAnsi="Times New Roman"/>
          <w:szCs w:val="24"/>
        </w:rPr>
        <w:t xml:space="preserve"> </w:t>
      </w:r>
      <w:r w:rsidRPr="002C439C">
        <w:rPr>
          <w:rFonts w:ascii="Times New Roman" w:hAnsi="Times New Roman"/>
          <w:szCs w:val="24"/>
        </w:rPr>
        <w:t>laiko nustatymo“ pakeitimo (1-T-213)</w:t>
      </w:r>
      <w:r>
        <w:rPr>
          <w:rFonts w:ascii="Times New Roman" w:hAnsi="Times New Roman"/>
          <w:szCs w:val="24"/>
        </w:rPr>
        <w:t>.</w:t>
      </w:r>
    </w:p>
    <w:p w14:paraId="57186642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Danuta Gruzinskienė</w:t>
      </w:r>
    </w:p>
    <w:p w14:paraId="5E17C598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5. Dėl UAB Anykščių komunalinio ūkio teikiamų paslaugų įkainių patvirtinimo (1-T-214)</w:t>
      </w:r>
      <w:r>
        <w:rPr>
          <w:rFonts w:ascii="Times New Roman" w:hAnsi="Times New Roman"/>
          <w:szCs w:val="24"/>
        </w:rPr>
        <w:t>.</w:t>
      </w:r>
    </w:p>
    <w:p w14:paraId="51044D55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Pranešėjas – Ramūnas Blazarėnas</w:t>
      </w:r>
    </w:p>
    <w:p w14:paraId="2D178C0C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6. Dėl valstybinės žemės ūkio paskirties žemės sklypo nuomos (1-T-220)</w:t>
      </w:r>
      <w:r>
        <w:rPr>
          <w:rFonts w:ascii="Times New Roman" w:hAnsi="Times New Roman"/>
          <w:szCs w:val="24"/>
        </w:rPr>
        <w:t>.</w:t>
      </w:r>
    </w:p>
    <w:p w14:paraId="7B647DD9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7. Dėl 2001 m. birželio 12 d. valstybinės žemės nuomos sutarties Nr. N34/2001-56 ir 2003 m. spalio 6 d. sutarties dėl valstybinės žemės nuomos sutarties šalių pakeitimo nutraukimo (1-T-215)</w:t>
      </w:r>
      <w:r>
        <w:rPr>
          <w:rFonts w:ascii="Times New Roman" w:hAnsi="Times New Roman"/>
          <w:szCs w:val="24"/>
        </w:rPr>
        <w:t>.</w:t>
      </w:r>
    </w:p>
    <w:p w14:paraId="593CF7B3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8. Dėl 2013 m. gegužės 30 d. valstybinės žemės nuomos sutarties Nr. 38SŽN-37 nutraukimo (1-T-222)</w:t>
      </w:r>
      <w:r>
        <w:rPr>
          <w:rFonts w:ascii="Times New Roman" w:hAnsi="Times New Roman"/>
          <w:szCs w:val="24"/>
        </w:rPr>
        <w:t>.</w:t>
      </w:r>
    </w:p>
    <w:p w14:paraId="12F77043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Daiva  Gasiūnienė</w:t>
      </w:r>
    </w:p>
    <w:p w14:paraId="399A72D6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2C439C">
        <w:rPr>
          <w:rFonts w:ascii="Times New Roman" w:hAnsi="Times New Roman"/>
          <w:szCs w:val="24"/>
        </w:rPr>
        <w:t>. Dėl Anykščių rajono savivaldybės atvirų sporto renginių organizavimo paslaugų įkainių nustatymo (1-T-216)</w:t>
      </w:r>
      <w:r>
        <w:rPr>
          <w:rFonts w:ascii="Times New Roman" w:hAnsi="Times New Roman"/>
          <w:szCs w:val="24"/>
        </w:rPr>
        <w:t>.</w:t>
      </w:r>
    </w:p>
    <w:p w14:paraId="753453EE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10. Dėl klasių (grupių) skaičiaus ir dydžio Anykščių meno mokykloje 2024–2025 mokslo metais nustatymo (1-T-227)</w:t>
      </w:r>
      <w:r>
        <w:rPr>
          <w:rFonts w:ascii="Times New Roman" w:hAnsi="Times New Roman"/>
          <w:szCs w:val="24"/>
        </w:rPr>
        <w:t>.</w:t>
      </w:r>
    </w:p>
    <w:p w14:paraId="7384C9A5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4838A644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11. Dėl Anykščių rajono socialinių paslaugų centro teikiamų socialinių paslaugų Anykščių rajono savivaldybės gyventojams kainų nustatymo (1-T-229)</w:t>
      </w:r>
      <w:r>
        <w:rPr>
          <w:rFonts w:ascii="Times New Roman" w:hAnsi="Times New Roman"/>
          <w:szCs w:val="24"/>
        </w:rPr>
        <w:t>.</w:t>
      </w:r>
    </w:p>
    <w:p w14:paraId="404F6B20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12. Dėl atlygio budinčiam globotojui ir nuolatiniam globotojui dydžių patvirtinimo (1-T-230)</w:t>
      </w:r>
      <w:r>
        <w:rPr>
          <w:rFonts w:ascii="Times New Roman" w:hAnsi="Times New Roman"/>
          <w:szCs w:val="24"/>
        </w:rPr>
        <w:t>.</w:t>
      </w:r>
    </w:p>
    <w:p w14:paraId="41CD7E18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lastRenderedPageBreak/>
        <w:t>13. Dėl mokėjimo už socialines paslaugas Anykščių rajono savivaldybėje tvarkos aprašo patvirtinimo (1-T-231)</w:t>
      </w:r>
      <w:r>
        <w:rPr>
          <w:rFonts w:ascii="Times New Roman" w:hAnsi="Times New Roman"/>
          <w:szCs w:val="24"/>
        </w:rPr>
        <w:t>.</w:t>
      </w:r>
    </w:p>
    <w:p w14:paraId="036B45E6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Vaida Turauskienė</w:t>
      </w:r>
    </w:p>
    <w:p w14:paraId="4565409A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14. Dėl A. Baranausko ir A. Vienuolio-Žukausko memorialinio muziejaus nuostatų patvirtinimo (1-T-232)</w:t>
      </w:r>
      <w:r>
        <w:rPr>
          <w:rFonts w:ascii="Times New Roman" w:hAnsi="Times New Roman"/>
          <w:szCs w:val="24"/>
        </w:rPr>
        <w:t>.</w:t>
      </w:r>
    </w:p>
    <w:p w14:paraId="586C28B0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15. Dėl Anykščių rajono savivaldybės Liudvikos ir Stanislovo Didžiulių viešosios bibliotekos nuostatų patvirtinimo (1-T-233)</w:t>
      </w:r>
      <w:r>
        <w:rPr>
          <w:rFonts w:ascii="Times New Roman" w:hAnsi="Times New Roman"/>
          <w:szCs w:val="24"/>
        </w:rPr>
        <w:t>.</w:t>
      </w:r>
    </w:p>
    <w:p w14:paraId="4861D27C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16. Dėl Anykščių menų centro nuostatų patvirtinimo (1-T-234)</w:t>
      </w:r>
      <w:r>
        <w:rPr>
          <w:rFonts w:ascii="Times New Roman" w:hAnsi="Times New Roman"/>
          <w:szCs w:val="24"/>
        </w:rPr>
        <w:t>.</w:t>
      </w:r>
    </w:p>
    <w:p w14:paraId="6BD4C41F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 xml:space="preserve">Pranešėja – Inga </w:t>
      </w:r>
      <w:proofErr w:type="spellStart"/>
      <w:r w:rsidRPr="002C439C">
        <w:rPr>
          <w:rFonts w:ascii="Times New Roman" w:hAnsi="Times New Roman"/>
          <w:b/>
          <w:bCs/>
          <w:szCs w:val="24"/>
        </w:rPr>
        <w:t>Eidrigevičienė</w:t>
      </w:r>
      <w:proofErr w:type="spellEnd"/>
    </w:p>
    <w:p w14:paraId="5C74DABD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17. Dėl nekilnojamojo turto, kuriam už 2025 metus taikomas 3 procentų nekilnojamojo turto mokesčio tarifas, sąrašo patvirtinimo (1-T-228)</w:t>
      </w:r>
      <w:r>
        <w:rPr>
          <w:rFonts w:ascii="Times New Roman" w:hAnsi="Times New Roman"/>
          <w:szCs w:val="24"/>
        </w:rPr>
        <w:t>.</w:t>
      </w:r>
    </w:p>
    <w:p w14:paraId="09F859B5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18. Dėl viešame aukcione parduodamų nekilnojamųjų daiktų pradinių pardavimo kainų nustatymo (1-T-225)</w:t>
      </w:r>
      <w:r>
        <w:rPr>
          <w:rFonts w:ascii="Times New Roman" w:hAnsi="Times New Roman"/>
          <w:szCs w:val="24"/>
        </w:rPr>
        <w:t>.</w:t>
      </w:r>
    </w:p>
    <w:p w14:paraId="17962E74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19. Dėl investavimo ir uždarosios akcinės bendrovės „Anykščių vandenys“ įstatinio kapitalo didinimo (1-T-226)</w:t>
      </w:r>
      <w:r>
        <w:rPr>
          <w:rFonts w:ascii="Times New Roman" w:hAnsi="Times New Roman"/>
          <w:szCs w:val="24"/>
        </w:rPr>
        <w:t>.</w:t>
      </w:r>
    </w:p>
    <w:p w14:paraId="7780C65E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20. Dėl sutikimo atlikti vandentiekio bokštų likvidavimo darbus (1-T-217)</w:t>
      </w:r>
      <w:r>
        <w:rPr>
          <w:rFonts w:ascii="Times New Roman" w:hAnsi="Times New Roman"/>
          <w:szCs w:val="24"/>
        </w:rPr>
        <w:t>.</w:t>
      </w:r>
    </w:p>
    <w:p w14:paraId="22470720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21. Dėl valstybės turto perėmimo Savivaldybės nuosavybėn ir šio turto perdavimo Anykščių rajono savivaldybės administracijai valdyti, naudoti ir disponuoti juo patikėjimo teise (1-T-218)</w:t>
      </w:r>
      <w:r>
        <w:rPr>
          <w:rFonts w:ascii="Times New Roman" w:hAnsi="Times New Roman"/>
          <w:szCs w:val="24"/>
        </w:rPr>
        <w:t>.</w:t>
      </w:r>
    </w:p>
    <w:p w14:paraId="19E91D96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22. Dėl Anykščių rajono savivaldybei nuosavybės teise priklausančio turto perdavimo Anykščių rajono savivaldybės administracijai valdyti, naudoti ir disponuoti juo patikėjimo teise (1-T-223)</w:t>
      </w:r>
      <w:r>
        <w:rPr>
          <w:rFonts w:ascii="Times New Roman" w:hAnsi="Times New Roman"/>
          <w:szCs w:val="24"/>
        </w:rPr>
        <w:t>.</w:t>
      </w:r>
    </w:p>
    <w:p w14:paraId="1F20B77F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23. Dėl patalpų</w:t>
      </w:r>
      <w:r>
        <w:rPr>
          <w:rFonts w:ascii="Times New Roman" w:hAnsi="Times New Roman"/>
          <w:szCs w:val="24"/>
        </w:rPr>
        <w:t>,</w:t>
      </w:r>
      <w:r w:rsidRPr="002C439C">
        <w:rPr>
          <w:rFonts w:ascii="Times New Roman" w:hAnsi="Times New Roman"/>
          <w:szCs w:val="24"/>
        </w:rPr>
        <w:t xml:space="preserve"> esančių J. Tumo-Vaižganto g. 16, Svėdasų mstl., Anykščių r. sav., nuomos (1-T-224)</w:t>
      </w:r>
      <w:r>
        <w:rPr>
          <w:rFonts w:ascii="Times New Roman" w:hAnsi="Times New Roman"/>
          <w:szCs w:val="24"/>
        </w:rPr>
        <w:t>.</w:t>
      </w:r>
    </w:p>
    <w:p w14:paraId="452C38DC" w14:textId="77777777" w:rsidR="0034163F" w:rsidRPr="002C439C" w:rsidRDefault="0034163F" w:rsidP="00341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Vilma Vilkickaitė</w:t>
      </w:r>
    </w:p>
    <w:p w14:paraId="7A89DAD9" w14:textId="69F2265C" w:rsidR="006B712E" w:rsidRPr="00CE4A61" w:rsidRDefault="006B712E" w:rsidP="0034163F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6B712E" w:rsidRPr="00CE4A61" w:rsidSect="00CC69C1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F933BB" w14:textId="77777777" w:rsidR="00071AB1" w:rsidRDefault="00071AB1">
      <w:r>
        <w:separator/>
      </w:r>
    </w:p>
  </w:endnote>
  <w:endnote w:type="continuationSeparator" w:id="0">
    <w:p w14:paraId="4DBE8A83" w14:textId="77777777" w:rsidR="00071AB1" w:rsidRDefault="00071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404F8" w14:textId="77777777" w:rsidR="00071AB1" w:rsidRDefault="00071AB1">
      <w:r>
        <w:separator/>
      </w:r>
    </w:p>
  </w:footnote>
  <w:footnote w:type="continuationSeparator" w:id="0">
    <w:p w14:paraId="67B856B6" w14:textId="77777777" w:rsidR="00071AB1" w:rsidRDefault="00071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291198" w:rsidRDefault="002911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291198" w:rsidRDefault="0029119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71AB1"/>
    <w:rsid w:val="00080A91"/>
    <w:rsid w:val="00092210"/>
    <w:rsid w:val="000A5CC9"/>
    <w:rsid w:val="00196785"/>
    <w:rsid w:val="001A3CF4"/>
    <w:rsid w:val="001E54DB"/>
    <w:rsid w:val="002116AD"/>
    <w:rsid w:val="00212941"/>
    <w:rsid w:val="002805DF"/>
    <w:rsid w:val="002831B3"/>
    <w:rsid w:val="00290C07"/>
    <w:rsid w:val="00291198"/>
    <w:rsid w:val="002E1944"/>
    <w:rsid w:val="003114F9"/>
    <w:rsid w:val="00316F51"/>
    <w:rsid w:val="0034163F"/>
    <w:rsid w:val="00356856"/>
    <w:rsid w:val="00356EC9"/>
    <w:rsid w:val="003E6DE0"/>
    <w:rsid w:val="004118D0"/>
    <w:rsid w:val="00421D7F"/>
    <w:rsid w:val="00424931"/>
    <w:rsid w:val="00432611"/>
    <w:rsid w:val="004457A4"/>
    <w:rsid w:val="00464AAA"/>
    <w:rsid w:val="00472CDE"/>
    <w:rsid w:val="004A4DF1"/>
    <w:rsid w:val="004C2827"/>
    <w:rsid w:val="004E1412"/>
    <w:rsid w:val="00523FE5"/>
    <w:rsid w:val="00550A04"/>
    <w:rsid w:val="006165C2"/>
    <w:rsid w:val="00625C20"/>
    <w:rsid w:val="0065130F"/>
    <w:rsid w:val="00672374"/>
    <w:rsid w:val="00683F38"/>
    <w:rsid w:val="006B712E"/>
    <w:rsid w:val="00712473"/>
    <w:rsid w:val="00727C72"/>
    <w:rsid w:val="0078685F"/>
    <w:rsid w:val="00795CAB"/>
    <w:rsid w:val="007C1B48"/>
    <w:rsid w:val="00816523"/>
    <w:rsid w:val="00827106"/>
    <w:rsid w:val="00827166"/>
    <w:rsid w:val="0083226D"/>
    <w:rsid w:val="008A19AD"/>
    <w:rsid w:val="008C58F3"/>
    <w:rsid w:val="008D40B0"/>
    <w:rsid w:val="009133E3"/>
    <w:rsid w:val="0091652C"/>
    <w:rsid w:val="00953393"/>
    <w:rsid w:val="00966C9D"/>
    <w:rsid w:val="009A4D38"/>
    <w:rsid w:val="009C76C8"/>
    <w:rsid w:val="009D40D5"/>
    <w:rsid w:val="009D63A2"/>
    <w:rsid w:val="00A0102D"/>
    <w:rsid w:val="00A068A9"/>
    <w:rsid w:val="00A351C3"/>
    <w:rsid w:val="00A91FC2"/>
    <w:rsid w:val="00AA6289"/>
    <w:rsid w:val="00AA6F17"/>
    <w:rsid w:val="00AD6BEF"/>
    <w:rsid w:val="00B15B0B"/>
    <w:rsid w:val="00B20AAB"/>
    <w:rsid w:val="00B4302F"/>
    <w:rsid w:val="00B73AB3"/>
    <w:rsid w:val="00B916A9"/>
    <w:rsid w:val="00BD1BA0"/>
    <w:rsid w:val="00C1479B"/>
    <w:rsid w:val="00C22B28"/>
    <w:rsid w:val="00C3056E"/>
    <w:rsid w:val="00C318C1"/>
    <w:rsid w:val="00C34BC1"/>
    <w:rsid w:val="00C36787"/>
    <w:rsid w:val="00C95454"/>
    <w:rsid w:val="00CB508C"/>
    <w:rsid w:val="00CC3700"/>
    <w:rsid w:val="00CC69C1"/>
    <w:rsid w:val="00CE4A61"/>
    <w:rsid w:val="00CF1577"/>
    <w:rsid w:val="00D27F8C"/>
    <w:rsid w:val="00D42289"/>
    <w:rsid w:val="00D5199A"/>
    <w:rsid w:val="00D82086"/>
    <w:rsid w:val="00D95D73"/>
    <w:rsid w:val="00DF1796"/>
    <w:rsid w:val="00E27A4D"/>
    <w:rsid w:val="00E53F2A"/>
    <w:rsid w:val="00E73643"/>
    <w:rsid w:val="00E871CC"/>
    <w:rsid w:val="00EA5B14"/>
    <w:rsid w:val="00EB22EC"/>
    <w:rsid w:val="00ED1713"/>
    <w:rsid w:val="00EE5B26"/>
    <w:rsid w:val="00F44F53"/>
    <w:rsid w:val="00F51E32"/>
    <w:rsid w:val="00F56DE8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26</cp:revision>
  <dcterms:created xsi:type="dcterms:W3CDTF">2023-08-24T05:23:00Z</dcterms:created>
  <dcterms:modified xsi:type="dcterms:W3CDTF">2024-06-20T13:34:00Z</dcterms:modified>
</cp:coreProperties>
</file>